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20B6A" w14:textId="7454D075" w:rsidR="00EC165C" w:rsidRPr="0057479C" w:rsidRDefault="00EC165C" w:rsidP="00EC165C">
      <w:pPr>
        <w:tabs>
          <w:tab w:val="left" w:pos="1985"/>
        </w:tabs>
        <w:spacing w:after="0"/>
        <w:ind w:left="0" w:firstLine="0"/>
        <w:rPr>
          <w:rFonts w:ascii="Arial" w:hAnsi="Arial" w:cs="Arial"/>
          <w:b/>
          <w:bCs/>
          <w:sz w:val="28"/>
        </w:rPr>
      </w:pPr>
      <w:r w:rsidRPr="0057479C">
        <w:rPr>
          <w:rFonts w:ascii="Arial" w:hAnsi="Arial" w:cs="Arial"/>
          <w:b/>
          <w:bCs/>
          <w:sz w:val="28"/>
        </w:rPr>
        <w:t>3GPP TSG RAN WG1 #96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B44B53">
        <w:rPr>
          <w:rFonts w:ascii="Arial" w:hAnsi="Arial" w:cs="Arial"/>
          <w:b/>
          <w:bCs/>
          <w:sz w:val="28"/>
        </w:rPr>
        <w:t>19</w:t>
      </w:r>
      <w:r w:rsidR="00412148">
        <w:rPr>
          <w:rFonts w:ascii="Arial" w:hAnsi="Arial" w:cs="Arial"/>
          <w:b/>
          <w:bCs/>
          <w:sz w:val="28"/>
        </w:rPr>
        <w:t>04632</w:t>
      </w:r>
    </w:p>
    <w:p w14:paraId="0FBCB941" w14:textId="77777777" w:rsidR="00EC165C" w:rsidRPr="0057479C" w:rsidRDefault="00EC165C" w:rsidP="00EC165C">
      <w:pPr>
        <w:tabs>
          <w:tab w:val="left" w:pos="1985"/>
        </w:tabs>
        <w:spacing w:after="0"/>
        <w:ind w:left="0" w:firstLine="0"/>
        <w:rPr>
          <w:rFonts w:ascii="Arial" w:hAnsi="Arial" w:cs="Arial"/>
          <w:b/>
          <w:bCs/>
          <w:sz w:val="28"/>
        </w:rPr>
      </w:pPr>
      <w:r w:rsidRPr="0057479C">
        <w:rPr>
          <w:rFonts w:ascii="Arial" w:hAnsi="Arial" w:cs="Arial"/>
          <w:b/>
          <w:bCs/>
          <w:sz w:val="28"/>
        </w:rPr>
        <w:t>Athens, Greece, 25th February – 1st March, 2019</w:t>
      </w:r>
    </w:p>
    <w:p w14:paraId="1DA2E8F8" w14:textId="74A93795"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B44B53">
        <w:rPr>
          <w:rFonts w:ascii="Arial" w:eastAsia="맑은 고딕" w:hAnsi="Arial"/>
          <w:sz w:val="24"/>
          <w:lang w:val="en-US" w:eastAsia="ko-KR"/>
        </w:rPr>
        <w:t>7.2.6.6</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7CB6DDF7"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44B53" w:rsidRPr="00B44B53">
        <w:rPr>
          <w:rFonts w:ascii="Arial" w:hAnsi="Arial"/>
          <w:sz w:val="24"/>
        </w:rPr>
        <w:t>Enhanced UL configured grant transmission for NR URLLC</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1366C8D3" w:rsidR="001B635E" w:rsidRDefault="00295DA9" w:rsidP="00797AE7">
      <w:pPr>
        <w:pStyle w:val="Doc"/>
        <w:rPr>
          <w:lang w:val="en-GB"/>
        </w:rPr>
      </w:pPr>
      <w:r>
        <w:rPr>
          <w:lang w:val="en-GB"/>
        </w:rPr>
        <w:t>In RAN1#</w:t>
      </w:r>
      <w:r w:rsidR="00B44B53">
        <w:rPr>
          <w:lang w:val="en-GB"/>
        </w:rPr>
        <w:t>96</w:t>
      </w:r>
      <w:r w:rsidR="00AB1A7F">
        <w:rPr>
          <w:lang w:val="en-GB"/>
        </w:rPr>
        <w:t>, followings</w:t>
      </w:r>
      <w:r w:rsidR="00797AE7">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32833E07" w14:textId="1BB9D005" w:rsidR="00295DA9" w:rsidRPr="00D56DE0" w:rsidRDefault="00B44B53" w:rsidP="00295DA9">
            <w:pPr>
              <w:pStyle w:val="agreementHEAD"/>
              <w:rPr>
                <w:lang w:eastAsia="ja-JP"/>
              </w:rPr>
            </w:pPr>
            <w:r>
              <w:rPr>
                <w:highlight w:val="green"/>
              </w:rPr>
              <w:t>Conclusion</w:t>
            </w:r>
            <w:r w:rsidR="00295DA9" w:rsidRPr="00D56DE0">
              <w:rPr>
                <w:highlight w:val="green"/>
                <w:lang w:eastAsia="ja-JP"/>
              </w:rPr>
              <w:t>s</w:t>
            </w:r>
            <w:r w:rsidR="00295DA9" w:rsidRPr="00D56DE0">
              <w:rPr>
                <w:lang w:eastAsia="ja-JP"/>
              </w:rPr>
              <w:t>:</w:t>
            </w:r>
          </w:p>
          <w:p w14:paraId="3E93539E" w14:textId="77777777" w:rsidR="00B44B53" w:rsidRDefault="00B44B53" w:rsidP="00B44B53">
            <w:pPr>
              <w:numPr>
                <w:ilvl w:val="0"/>
                <w:numId w:val="57"/>
              </w:numPr>
              <w:spacing w:before="0" w:after="0" w:line="240" w:lineRule="auto"/>
              <w:jc w:val="left"/>
            </w:pPr>
            <w:r>
              <w:t>Capture the simulation results in Table 1-1 in R1-1903707 into the TR section 8.1 “performance evaluation” as the outcome of the study.</w:t>
            </w:r>
          </w:p>
          <w:p w14:paraId="73FFBD6E" w14:textId="77777777" w:rsidR="00B44B53" w:rsidRDefault="00B44B53" w:rsidP="00B44B53">
            <w:pPr>
              <w:numPr>
                <w:ilvl w:val="0"/>
                <w:numId w:val="57"/>
              </w:numPr>
              <w:spacing w:before="0" w:after="0" w:line="240" w:lineRule="auto"/>
              <w:jc w:val="left"/>
            </w:pPr>
            <w:r>
              <w:t xml:space="preserve">There is no consensus on the necessity of explicit HARQ-ACK for configured grant PUSCH for this SI. </w:t>
            </w:r>
          </w:p>
          <w:p w14:paraId="47D873D6" w14:textId="2DDABDBE" w:rsidR="00295DA9" w:rsidRPr="00B44B53" w:rsidRDefault="00295DA9" w:rsidP="00295DA9">
            <w:pPr>
              <w:pStyle w:val="agreement"/>
              <w:numPr>
                <w:ilvl w:val="0"/>
                <w:numId w:val="0"/>
              </w:numPr>
              <w:rPr>
                <w:lang w:eastAsia="ja-JP"/>
              </w:rPr>
            </w:pPr>
          </w:p>
        </w:tc>
      </w:tr>
    </w:tbl>
    <w:p w14:paraId="17A8E843" w14:textId="6B2BCCFD" w:rsidR="00B44B53" w:rsidRDefault="00B44B53" w:rsidP="00B44B53">
      <w:pPr>
        <w:pStyle w:val="Doc"/>
        <w:rPr>
          <w:lang w:val="en-GB"/>
        </w:rPr>
      </w:pPr>
      <w:r>
        <w:rPr>
          <w:lang w:val="en-GB"/>
        </w:rPr>
        <w:t>And, according to WID for NR URLLC, following objective need to be considered [2]</w:t>
      </w:r>
    </w:p>
    <w:tbl>
      <w:tblPr>
        <w:tblStyle w:val="a7"/>
        <w:tblW w:w="0" w:type="auto"/>
        <w:tblLook w:val="04A0" w:firstRow="1" w:lastRow="0" w:firstColumn="1" w:lastColumn="0" w:noHBand="0" w:noVBand="1"/>
      </w:tblPr>
      <w:tblGrid>
        <w:gridCol w:w="9628"/>
      </w:tblGrid>
      <w:tr w:rsidR="00B44B53" w14:paraId="529BDEE2" w14:textId="77777777" w:rsidTr="006A0979">
        <w:tc>
          <w:tcPr>
            <w:tcW w:w="9628" w:type="dxa"/>
          </w:tcPr>
          <w:p w14:paraId="678D9A0B" w14:textId="70739665" w:rsidR="00B44B53" w:rsidRPr="00B44B53" w:rsidRDefault="00B44B53" w:rsidP="00B44B53">
            <w:pPr>
              <w:tabs>
                <w:tab w:val="num" w:pos="2160"/>
              </w:tabs>
              <w:overflowPunct w:val="0"/>
              <w:autoSpaceDE w:val="0"/>
              <w:autoSpaceDN w:val="0"/>
              <w:adjustRightInd w:val="0"/>
              <w:spacing w:before="0" w:after="0" w:line="240" w:lineRule="auto"/>
              <w:ind w:left="0" w:firstLine="0"/>
              <w:textAlignment w:val="baseline"/>
              <w:rPr>
                <w:bCs/>
                <w:lang w:val="en-US"/>
              </w:rPr>
            </w:pPr>
            <w:bookmarkStart w:id="3" w:name="OLE_LINK17"/>
            <w:r w:rsidRPr="00B44B53">
              <w:rPr>
                <w:bCs/>
                <w:lang w:val="en-US"/>
              </w:rPr>
              <w:t xml:space="preserve">Specification of </w:t>
            </w:r>
            <w:bookmarkStart w:id="4" w:name="OLE_LINK2"/>
            <w:r w:rsidRPr="007368F9">
              <w:rPr>
                <w:lang w:eastAsia="zh-CN"/>
              </w:rPr>
              <w:t>enhanced UL configured grant transmission</w:t>
            </w:r>
            <w:bookmarkEnd w:id="4"/>
            <w:r w:rsidRPr="00B44B53">
              <w:rPr>
                <w:bCs/>
                <w:lang w:val="en-US"/>
              </w:rPr>
              <w:t xml:space="preserve"> [RAN1, RAN2]</w:t>
            </w:r>
          </w:p>
          <w:p w14:paraId="3E5B785B" w14:textId="77777777" w:rsidR="00B44B53" w:rsidRPr="00B74D71" w:rsidRDefault="00B44B53" w:rsidP="00B44B53">
            <w:pPr>
              <w:numPr>
                <w:ilvl w:val="0"/>
                <w:numId w:val="58"/>
              </w:numPr>
              <w:overflowPunct w:val="0"/>
              <w:autoSpaceDE w:val="0"/>
              <w:autoSpaceDN w:val="0"/>
              <w:adjustRightInd w:val="0"/>
              <w:spacing w:before="0" w:after="0" w:line="240" w:lineRule="auto"/>
              <w:textAlignment w:val="baseline"/>
              <w:rPr>
                <w:bCs/>
                <w:lang w:val="en-US"/>
              </w:rPr>
            </w:pPr>
            <w:r>
              <w:rPr>
                <w:lang w:eastAsia="zh-CN"/>
              </w:rPr>
              <w:t>M</w:t>
            </w:r>
            <w:r w:rsidRPr="007368F9">
              <w:rPr>
                <w:lang w:eastAsia="zh-CN"/>
              </w:rPr>
              <w:t>u</w:t>
            </w:r>
            <w:r w:rsidRPr="007368F9">
              <w:t>ltiple active configured grant</w:t>
            </w:r>
            <w:r>
              <w:t xml:space="preserve"> type 1 and type 2 </w:t>
            </w:r>
            <w:r w:rsidRPr="007368F9">
              <w:t>configurations for a given BWP of a serving cell</w:t>
            </w:r>
            <w:r>
              <w:t xml:space="preserve"> </w:t>
            </w:r>
          </w:p>
          <w:p w14:paraId="6543E862" w14:textId="584CDD2E" w:rsidR="00B44B53" w:rsidRPr="00B44B53" w:rsidRDefault="00B44B53" w:rsidP="00B44B53">
            <w:pPr>
              <w:numPr>
                <w:ilvl w:val="1"/>
                <w:numId w:val="58"/>
              </w:numPr>
              <w:overflowPunct w:val="0"/>
              <w:autoSpaceDE w:val="0"/>
              <w:autoSpaceDN w:val="0"/>
              <w:adjustRightInd w:val="0"/>
              <w:spacing w:before="0" w:after="0" w:line="240" w:lineRule="auto"/>
              <w:textAlignment w:val="baseline"/>
              <w:rPr>
                <w:bCs/>
                <w:lang w:val="en-US"/>
              </w:rPr>
            </w:pPr>
            <w:bookmarkStart w:id="5" w:name="OLE_LINK14"/>
            <w:r>
              <w:rPr>
                <w:rFonts w:hint="eastAsia"/>
                <w:bCs/>
                <w:lang w:val="en-US" w:eastAsia="zh-CN"/>
              </w:rPr>
              <w:t>N</w:t>
            </w:r>
            <w:bookmarkStart w:id="6" w:name="OLE_LINK15"/>
            <w:r>
              <w:rPr>
                <w:rFonts w:hint="eastAsia"/>
                <w:bCs/>
                <w:lang w:val="en-US" w:eastAsia="zh-CN"/>
              </w:rPr>
              <w:t xml:space="preserve">ote: </w:t>
            </w:r>
            <w:r>
              <w:rPr>
                <w:bCs/>
                <w:lang w:val="en-US" w:eastAsia="zh-CN"/>
              </w:rPr>
              <w:t xml:space="preserve">V2X use cases are also considered </w:t>
            </w:r>
            <w:bookmarkEnd w:id="3"/>
            <w:bookmarkEnd w:id="5"/>
            <w:bookmarkEnd w:id="6"/>
          </w:p>
          <w:p w14:paraId="22708B47" w14:textId="77777777" w:rsidR="00B44B53" w:rsidRPr="00B44B53" w:rsidRDefault="00B44B53" w:rsidP="00B44B53">
            <w:pPr>
              <w:spacing w:after="0"/>
              <w:ind w:left="0" w:firstLine="0"/>
              <w:rPr>
                <w:lang w:val="en-US" w:eastAsia="ja-JP"/>
              </w:rPr>
            </w:pPr>
          </w:p>
        </w:tc>
      </w:tr>
    </w:tbl>
    <w:p w14:paraId="6BC057A9" w14:textId="44895E32" w:rsidR="007E14D4" w:rsidRDefault="00E82A12" w:rsidP="00B44B53">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B44B53">
        <w:t>how to facilitate “multiple active configured grant” and additional consideration point when adopted.</w:t>
      </w:r>
    </w:p>
    <w:p w14:paraId="24E36595" w14:textId="318CFD70" w:rsidR="004B18C8" w:rsidRDefault="003A0599" w:rsidP="004B18C8">
      <w:pPr>
        <w:pStyle w:val="10"/>
      </w:pPr>
      <w:r>
        <w:t>How to configure</w:t>
      </w:r>
      <w:r w:rsidR="00531CB4">
        <w:t xml:space="preserve"> multiple configured grant</w:t>
      </w:r>
      <w:r>
        <w:t xml:space="preserve"> resource</w:t>
      </w:r>
    </w:p>
    <w:p w14:paraId="3D3E13A9" w14:textId="77777777" w:rsidR="000C7A30" w:rsidRDefault="000C7A30" w:rsidP="003A0599">
      <w:pPr>
        <w:pStyle w:val="Doc"/>
        <w:ind w:firstLineChars="0" w:firstLine="0"/>
        <w:rPr>
          <w:rFonts w:eastAsiaTheme="minorEastAsia"/>
          <w:lang w:val="en-GB"/>
        </w:rPr>
      </w:pPr>
    </w:p>
    <w:p w14:paraId="57E45BCC" w14:textId="68F3D922" w:rsidR="003A0599" w:rsidRDefault="002F3AEC" w:rsidP="00DD733D">
      <w:pPr>
        <w:pStyle w:val="Doc"/>
        <w:rPr>
          <w:lang w:val="en-GB"/>
        </w:rPr>
      </w:pPr>
      <w:r w:rsidRPr="002F3AEC">
        <w:rPr>
          <w:lang w:val="en-GB"/>
        </w:rPr>
        <w:t xml:space="preserve">According to the agreed objective of WID for NR URLLC, multiple active configured grant should be specified for enhancement of UL configured grant transmission. In RAN1 point of view, “one configured grant configuration” based on Rel-15 definition configures one periodic PUSCH resource with one periodicity. Accordingly, “multiple configured grant configurations” in RAN1 point of view means multiple periodic PUSCH resources with same or different periodicities. Therefore, RAN1 should focus how to reduce latency and enhance reliability with multiple configured periodic resources. </w:t>
      </w:r>
      <w:r w:rsidR="00DD733D">
        <w:rPr>
          <w:lang w:val="en-GB"/>
        </w:rPr>
        <w:t xml:space="preserve">For the signaling design of the configurations, although it was actually designed by RAN1 in release 15 due to lack of time, it should be up to RAN2 to design overall structure of signaling, such as number of RRC parameter set in order to </w:t>
      </w:r>
      <w:r w:rsidR="006856E5">
        <w:rPr>
          <w:lang w:val="en-GB"/>
        </w:rPr>
        <w:t>configure</w:t>
      </w:r>
      <w:r w:rsidR="00DD733D">
        <w:rPr>
          <w:lang w:val="en-GB"/>
        </w:rPr>
        <w:t xml:space="preserve"> </w:t>
      </w:r>
      <w:r w:rsidR="006856E5">
        <w:rPr>
          <w:lang w:val="en-GB"/>
        </w:rPr>
        <w:t xml:space="preserve">multiple periodic resource </w:t>
      </w:r>
      <w:r w:rsidR="00DD733D">
        <w:rPr>
          <w:lang w:val="en-GB"/>
        </w:rPr>
        <w:t xml:space="preserve">. </w:t>
      </w:r>
    </w:p>
    <w:p w14:paraId="1185101E" w14:textId="3E96091A" w:rsidR="000C7A30" w:rsidRPr="00DD733D" w:rsidRDefault="00DD733D" w:rsidP="00DD733D">
      <w:pPr>
        <w:pStyle w:val="Proposal"/>
      </w:pPr>
      <w:r>
        <w:rPr>
          <w:rFonts w:hint="eastAsia"/>
        </w:rPr>
        <w:lastRenderedPageBreak/>
        <w:t xml:space="preserve">Proposal </w:t>
      </w:r>
      <w:r w:rsidR="008040C0">
        <w:t>1</w:t>
      </w:r>
      <w:r>
        <w:rPr>
          <w:rFonts w:hint="eastAsia"/>
        </w:rPr>
        <w:t xml:space="preserve">: </w:t>
      </w:r>
      <w:r w:rsidR="002F3AEC" w:rsidRPr="002F3AEC">
        <w:t>RAN1 discusses how to reduce latency and enhance reliability with multiple configured periodic resources. Overall higher layer signaling design of multiple configured grant configurations should be up to RAN2</w:t>
      </w:r>
      <w:r>
        <w:t xml:space="preserve"> </w:t>
      </w:r>
    </w:p>
    <w:p w14:paraId="223655F2" w14:textId="77777777" w:rsidR="006856E5" w:rsidRPr="00DD733D" w:rsidRDefault="006856E5" w:rsidP="00550112">
      <w:pPr>
        <w:pStyle w:val="Doc"/>
        <w:rPr>
          <w:rFonts w:eastAsiaTheme="minorEastAsia"/>
          <w:lang w:val="en-GB"/>
        </w:rPr>
      </w:pPr>
    </w:p>
    <w:p w14:paraId="7A760C31" w14:textId="16D2015E" w:rsidR="00274DF9" w:rsidRDefault="00274DF9" w:rsidP="00274DF9">
      <w:pPr>
        <w:pStyle w:val="Doc"/>
      </w:pPr>
      <w:r>
        <w:t>When using multiple configuration</w:t>
      </w:r>
      <w:r w:rsidR="006B39B9">
        <w:t>s</w:t>
      </w:r>
      <w:r>
        <w:t>, HARQ process management should be considered</w:t>
      </w:r>
      <w:r w:rsidR="006856E5">
        <w:t xml:space="preserve"> in RAN1 perspective</w:t>
      </w:r>
      <w:r>
        <w:t xml:space="preserve">. If we allocate exclusive HARQ process pool to each </w:t>
      </w:r>
      <w:r w:rsidR="006856E5">
        <w:t>configured grant resource</w:t>
      </w:r>
      <w:r>
        <w:t xml:space="preserve">, so many HARQ process are required in order to get flexible starting position. </w:t>
      </w:r>
      <w:r w:rsidR="009D28E5">
        <w:t xml:space="preserve">Moreover, multiple configured grant can be used for multiple type of services. </w:t>
      </w:r>
      <w:r w:rsidR="009B39CD">
        <w:t xml:space="preserve">If one URLLC service requires fine starting point with long duration PUSCH repetition, it will restrict other services. Meanwhile, HARQ process pool is </w:t>
      </w:r>
      <w:r>
        <w:t>shared betw</w:t>
      </w:r>
      <w:r w:rsidR="009B39CD">
        <w:t xml:space="preserve">een grant-free and grant-based. So </w:t>
      </w:r>
      <w:r>
        <w:t>starting position is easy to be unavailable when exclusive HARQ process pool is used for each configuration.</w:t>
      </w:r>
      <w:r w:rsidR="009D28E5">
        <w:t xml:space="preserve"> </w:t>
      </w:r>
      <w:r>
        <w:t>To maximize availability of flexible starting, HARQ process pool of multiple configuration</w:t>
      </w:r>
      <w:r w:rsidR="006B39B9">
        <w:t>s</w:t>
      </w:r>
      <w:r>
        <w:t xml:space="preserve"> should be able to overlap each other.</w:t>
      </w:r>
    </w:p>
    <w:p w14:paraId="39FA1739" w14:textId="5B181A1C" w:rsidR="009B39CD" w:rsidRPr="00B56DD9" w:rsidRDefault="009B39CD" w:rsidP="00DB383F">
      <w:pPr>
        <w:pStyle w:val="Doc"/>
        <w:ind w:firstLineChars="0" w:firstLine="0"/>
        <w:jc w:val="center"/>
      </w:pPr>
      <w:r>
        <w:rPr>
          <w:rStyle w:val="1Char0"/>
          <w:noProof/>
        </w:rPr>
        <w:drawing>
          <wp:inline distT="0" distB="0" distL="0" distR="0" wp14:anchorId="5A6768B8" wp14:editId="73FD7F20">
            <wp:extent cx="6120130" cy="148463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484630"/>
                    </a:xfrm>
                    <a:prstGeom prst="rect">
                      <a:avLst/>
                    </a:prstGeom>
                    <a:noFill/>
                  </pic:spPr>
                </pic:pic>
              </a:graphicData>
            </a:graphic>
          </wp:inline>
        </w:drawing>
      </w:r>
      <w:r>
        <w:rPr>
          <w:rFonts w:eastAsiaTheme="minorEastAsia"/>
        </w:rPr>
        <w:br/>
      </w:r>
      <w:r>
        <w:rPr>
          <w:rFonts w:eastAsiaTheme="minorEastAsia" w:hint="eastAsia"/>
        </w:rPr>
        <w:t>Figure 1</w:t>
      </w:r>
      <w:r>
        <w:rPr>
          <w:rFonts w:eastAsiaTheme="minorEastAsia"/>
        </w:rPr>
        <w:t>. An example of multiple configured grant with HARQ process sharing</w:t>
      </w:r>
    </w:p>
    <w:p w14:paraId="120C92E5" w14:textId="1A18A29C" w:rsidR="006856E5" w:rsidRDefault="009B39CD" w:rsidP="00DB383F">
      <w:pPr>
        <w:pStyle w:val="Doc"/>
        <w:rPr>
          <w:rFonts w:eastAsiaTheme="minorEastAsia"/>
        </w:rPr>
      </w:pPr>
      <w:r>
        <w:rPr>
          <w:rFonts w:eastAsiaTheme="minorEastAsia" w:hint="eastAsia"/>
        </w:rPr>
        <w:t>Figure</w:t>
      </w:r>
      <w:r w:rsidR="007C7FE3">
        <w:rPr>
          <w:rFonts w:eastAsiaTheme="minorEastAsia"/>
        </w:rPr>
        <w:t xml:space="preserve"> 1 shows when multiple configurations are used for flexible starting points. </w:t>
      </w:r>
      <w:r w:rsidR="002164CB">
        <w:rPr>
          <w:rFonts w:eastAsiaTheme="minorEastAsia"/>
        </w:rPr>
        <w:t>Considering resources in dashed square, if the UE uses one of them for uplink, others cannot be used in any cases. So it seems redundant to allocate different HARQ process number for those resources. To save the number of HARQ process when using multiple configured grant</w:t>
      </w:r>
      <w:r w:rsidR="006856E5">
        <w:rPr>
          <w:rFonts w:eastAsiaTheme="minorEastAsia"/>
        </w:rPr>
        <w:t xml:space="preserve"> sharing same HARQ process pool</w:t>
      </w:r>
      <w:r w:rsidR="002164CB">
        <w:rPr>
          <w:rFonts w:eastAsiaTheme="minorEastAsia"/>
        </w:rPr>
        <w:t xml:space="preserve">, </w:t>
      </w:r>
      <w:r w:rsidR="006856E5" w:rsidRPr="006856E5">
        <w:rPr>
          <w:rFonts w:eastAsiaTheme="minorEastAsia"/>
        </w:rPr>
        <w:t xml:space="preserve">HARQ process </w:t>
      </w:r>
      <w:r w:rsidR="006856E5">
        <w:rPr>
          <w:rFonts w:eastAsiaTheme="minorEastAsia"/>
        </w:rPr>
        <w:t xml:space="preserve">ID need to be aligned between/among different configurations. In current specification of release 15, HARQ process ID of configured grant </w:t>
      </w:r>
      <w:r w:rsidR="008353D6">
        <w:rPr>
          <w:rFonts w:eastAsiaTheme="minorEastAsia"/>
        </w:rPr>
        <w:t xml:space="preserve">is determined by symbol index from SFN0. So, it is hard to control for having aligned HARQ process ID due to different periodicity and symbol duration. </w:t>
      </w:r>
    </w:p>
    <w:p w14:paraId="3E230800" w14:textId="44C72C5C" w:rsidR="008353D6" w:rsidRDefault="008353D6" w:rsidP="00DB383F">
      <w:pPr>
        <w:pStyle w:val="Doc"/>
        <w:rPr>
          <w:rFonts w:eastAsiaTheme="minorEastAsia"/>
        </w:rPr>
      </w:pPr>
      <w:r>
        <w:rPr>
          <w:rFonts w:eastAsiaTheme="minorEastAsia"/>
        </w:rPr>
        <w:t>To leave choice for the gNB for HARQ determination, it can be considered to adopt two RRC parameters. One is HARQ-ID offset, the other is symbol offset. HARQ-ID offset can be used to make different HARQ process ID pool for configuration. Symbol offset can be applied to adjust HARQ ID order in one configuration. For example, HARQ process ID can be determined by following equation which is modified from 38.321:</w:t>
      </w:r>
    </w:p>
    <w:p w14:paraId="39043C34" w14:textId="29F80850" w:rsidR="008353D6" w:rsidRPr="008353D6" w:rsidRDefault="008353D6" w:rsidP="008353D6">
      <w:pPr>
        <w:pStyle w:val="Doc"/>
        <w:rPr>
          <w:rFonts w:eastAsiaTheme="minorEastAsia"/>
        </w:rPr>
      </w:pPr>
      <w:r w:rsidRPr="008353D6">
        <w:rPr>
          <w:rFonts w:eastAsiaTheme="minorEastAsia"/>
        </w:rPr>
        <w:t xml:space="preserve">HARQ Process ID = [floor((CURRENT_symbol + </w:t>
      </w:r>
      <w:r w:rsidRPr="008353D6">
        <w:rPr>
          <w:rFonts w:eastAsiaTheme="minorEastAsia"/>
          <w:b/>
        </w:rPr>
        <w:t>symbol-offset</w:t>
      </w:r>
      <w:r w:rsidRPr="008353D6">
        <w:rPr>
          <w:rFonts w:eastAsiaTheme="minorEastAsia"/>
        </w:rPr>
        <w:t xml:space="preserve">)/periodicity)] modulo nrofHARQ-Processes + </w:t>
      </w:r>
      <w:r w:rsidRPr="008353D6">
        <w:rPr>
          <w:rFonts w:eastAsiaTheme="minorEastAsia"/>
          <w:b/>
        </w:rPr>
        <w:t>harq-ProcID-offset</w:t>
      </w:r>
      <w:r w:rsidRPr="006F70A9">
        <w:rPr>
          <w:rFonts w:eastAsiaTheme="minorEastAsia"/>
        </w:rPr>
        <w:t>,</w:t>
      </w:r>
      <w:r w:rsidR="006F70A9" w:rsidRPr="006F70A9">
        <w:rPr>
          <w:rFonts w:eastAsiaTheme="minorEastAsia"/>
        </w:rPr>
        <w:t xml:space="preserve"> w</w:t>
      </w:r>
      <w:r w:rsidRPr="006F70A9">
        <w:rPr>
          <w:rFonts w:eastAsiaTheme="minorEastAsia"/>
        </w:rPr>
        <w:t>here</w:t>
      </w:r>
      <w:r w:rsidRPr="008353D6">
        <w:rPr>
          <w:rFonts w:eastAsiaTheme="minorEastAsia"/>
        </w:rPr>
        <w:t xml:space="preserve"> CURRENT_symbol</w:t>
      </w:r>
      <w:r w:rsidR="006F70A9">
        <w:rPr>
          <w:rFonts w:eastAsiaTheme="minorEastAsia"/>
        </w:rPr>
        <w:t xml:space="preserve"> refers the number of symbols from SFN0</w:t>
      </w:r>
    </w:p>
    <w:p w14:paraId="67B08ECA" w14:textId="2110C86A" w:rsidR="009B39CD" w:rsidRPr="00B56DD9" w:rsidRDefault="006F70A9" w:rsidP="00DB383F">
      <w:pPr>
        <w:pStyle w:val="Doc"/>
      </w:pPr>
      <w:r>
        <w:rPr>
          <w:rFonts w:eastAsiaTheme="minorEastAsia"/>
        </w:rPr>
        <w:t>By two parameter</w:t>
      </w:r>
      <w:r>
        <w:rPr>
          <w:rFonts w:eastAsiaTheme="minorEastAsia" w:hint="eastAsia"/>
        </w:rPr>
        <w:t xml:space="preserve">, </w:t>
      </w:r>
      <w:r>
        <w:rPr>
          <w:rFonts w:eastAsiaTheme="minorEastAsia"/>
        </w:rPr>
        <w:t>gNB can control not only HARQ process pool for each configuration as well as HARQ process ID of transmission occasion. This may decrease complexities of gNB and UE and also be helpful to support multiple configuration</w:t>
      </w:r>
      <w:r w:rsidR="006B39B9">
        <w:rPr>
          <w:rFonts w:eastAsiaTheme="minorEastAsia"/>
        </w:rPr>
        <w:t>s</w:t>
      </w:r>
      <w:r>
        <w:rPr>
          <w:rFonts w:eastAsiaTheme="minorEastAsia"/>
        </w:rPr>
        <w:t xml:space="preserve"> with limited number of HARQ processes. So,</w:t>
      </w:r>
      <w:r w:rsidR="002164CB">
        <w:rPr>
          <w:rFonts w:eastAsiaTheme="minorEastAsia"/>
        </w:rPr>
        <w:t>we propose following:</w:t>
      </w:r>
    </w:p>
    <w:p w14:paraId="26F88043" w14:textId="0A8C269F" w:rsidR="00274DF9" w:rsidRDefault="00DB383F" w:rsidP="00274DF9">
      <w:pPr>
        <w:pStyle w:val="Proposal"/>
      </w:pPr>
      <w:r>
        <w:lastRenderedPageBreak/>
        <w:t xml:space="preserve">Proposal </w:t>
      </w:r>
      <w:r w:rsidR="008040C0">
        <w:t>2</w:t>
      </w:r>
      <w:r w:rsidR="00274DF9">
        <w:t xml:space="preserve">: </w:t>
      </w:r>
      <w:r>
        <w:t>For</w:t>
      </w:r>
      <w:r w:rsidR="00274DF9">
        <w:t xml:space="preserve"> multiple configuration</w:t>
      </w:r>
      <w:r w:rsidR="006B39B9">
        <w:t>s</w:t>
      </w:r>
      <w:r w:rsidR="00274DF9">
        <w:t xml:space="preserve"> </w:t>
      </w:r>
      <w:r>
        <w:t>of configured grant,</w:t>
      </w:r>
    </w:p>
    <w:p w14:paraId="46E1522C" w14:textId="265D416A" w:rsidR="0086440D" w:rsidRDefault="00274DF9" w:rsidP="00DB383F">
      <w:pPr>
        <w:pStyle w:val="Proposal"/>
        <w:numPr>
          <w:ilvl w:val="0"/>
          <w:numId w:val="54"/>
        </w:numPr>
      </w:pPr>
      <w:r>
        <w:t>HARQ process pool of each configuration can be shared among multiple configurations.</w:t>
      </w:r>
    </w:p>
    <w:p w14:paraId="4A17A58A" w14:textId="7C65EC91" w:rsidR="006F70A9" w:rsidRDefault="006F70A9" w:rsidP="00DB383F">
      <w:pPr>
        <w:pStyle w:val="Proposal"/>
        <w:numPr>
          <w:ilvl w:val="0"/>
          <w:numId w:val="54"/>
        </w:numPr>
      </w:pPr>
      <w:r>
        <w:t>F</w:t>
      </w:r>
      <w:r>
        <w:rPr>
          <w:rFonts w:hint="eastAsia"/>
        </w:rPr>
        <w:t xml:space="preserve">ollowing </w:t>
      </w:r>
      <w:r>
        <w:t>two parameter need to be adopted:</w:t>
      </w:r>
    </w:p>
    <w:p w14:paraId="4F8A016F" w14:textId="66544F2D" w:rsidR="006F70A9" w:rsidRPr="006F70A9" w:rsidRDefault="006F70A9" w:rsidP="006F70A9">
      <w:pPr>
        <w:pStyle w:val="Proposal"/>
        <w:numPr>
          <w:ilvl w:val="1"/>
          <w:numId w:val="54"/>
        </w:numPr>
      </w:pPr>
      <w:r w:rsidRPr="008353D6">
        <w:rPr>
          <w:b w:val="0"/>
        </w:rPr>
        <w:t>harq-ProcID-offset</w:t>
      </w:r>
      <w:r>
        <w:rPr>
          <w:b w:val="0"/>
        </w:rPr>
        <w:t>: HARQ process ID offset between/among different configuration</w:t>
      </w:r>
    </w:p>
    <w:p w14:paraId="21A94DE2" w14:textId="251A8167" w:rsidR="006F70A9" w:rsidRPr="002518B5" w:rsidRDefault="006F70A9" w:rsidP="006F70A9">
      <w:pPr>
        <w:pStyle w:val="Proposal"/>
        <w:numPr>
          <w:ilvl w:val="1"/>
          <w:numId w:val="54"/>
        </w:numPr>
      </w:pPr>
      <w:r w:rsidRPr="008353D6">
        <w:rPr>
          <w:b w:val="0"/>
        </w:rPr>
        <w:t>symbol-offset</w:t>
      </w:r>
      <w:r>
        <w:rPr>
          <w:b w:val="0"/>
        </w:rPr>
        <w:t>: adjustment HARQ process ID determination for one configuration</w:t>
      </w:r>
    </w:p>
    <w:p w14:paraId="00929CE9" w14:textId="4A570DB8" w:rsidR="002518B5" w:rsidRDefault="002518B5" w:rsidP="002518B5">
      <w:pPr>
        <w:pStyle w:val="Proposal"/>
        <w:numPr>
          <w:ilvl w:val="0"/>
          <w:numId w:val="54"/>
        </w:numPr>
      </w:pPr>
      <w:r>
        <w:rPr>
          <w:rFonts w:hint="eastAsia"/>
        </w:rPr>
        <w:t>To determine HARQ process ID of configured grant, following equation can be considered:</w:t>
      </w:r>
    </w:p>
    <w:p w14:paraId="625D798A" w14:textId="77777777" w:rsidR="00A761B1" w:rsidRDefault="002518B5" w:rsidP="002518B5">
      <w:pPr>
        <w:pStyle w:val="Proposal"/>
        <w:numPr>
          <w:ilvl w:val="1"/>
          <w:numId w:val="54"/>
        </w:numPr>
        <w:rPr>
          <w:b w:val="0"/>
        </w:rPr>
      </w:pPr>
      <w:r w:rsidRPr="002518B5">
        <w:rPr>
          <w:b w:val="0"/>
        </w:rPr>
        <w:t xml:space="preserve">HARQ Process ID = [floor((CURRENT_symbol + </w:t>
      </w:r>
      <w:r w:rsidRPr="002518B5">
        <w:t>symbol-offset</w:t>
      </w:r>
      <w:r w:rsidRPr="002518B5">
        <w:rPr>
          <w:b w:val="0"/>
        </w:rPr>
        <w:t xml:space="preserve">)/periodicity)] modulo nrofHARQ-Processes + </w:t>
      </w:r>
      <w:r w:rsidRPr="002518B5">
        <w:t>harq-ProcID-offset</w:t>
      </w:r>
      <w:r w:rsidRPr="002518B5">
        <w:rPr>
          <w:b w:val="0"/>
        </w:rPr>
        <w:t>, where CURRENT_symbol refers the number of symbols from SFN0</w:t>
      </w:r>
    </w:p>
    <w:p w14:paraId="2E172E46" w14:textId="70253DE6" w:rsidR="002518B5" w:rsidRPr="002518B5" w:rsidRDefault="00A761B1" w:rsidP="002518B5">
      <w:pPr>
        <w:pStyle w:val="Proposal"/>
        <w:numPr>
          <w:ilvl w:val="1"/>
          <w:numId w:val="54"/>
        </w:numPr>
        <w:rPr>
          <w:b w:val="0"/>
        </w:rPr>
      </w:pPr>
      <w:r>
        <w:rPr>
          <w:b w:val="0"/>
        </w:rPr>
        <w:t>Note: only parameters shown in bold type are newly added in above equation.</w:t>
      </w:r>
    </w:p>
    <w:p w14:paraId="49C6FDB5" w14:textId="1DB27D2F" w:rsidR="00B31030" w:rsidRPr="00A761B1" w:rsidRDefault="00B31030" w:rsidP="00B31030">
      <w:pPr>
        <w:pStyle w:val="Proposal"/>
      </w:pPr>
    </w:p>
    <w:p w14:paraId="71FFEBE2" w14:textId="454295D0" w:rsidR="00B31030" w:rsidRDefault="00B31030" w:rsidP="00B31030">
      <w:pPr>
        <w:pStyle w:val="Doc"/>
        <w:rPr>
          <w:rFonts w:eastAsiaTheme="minorEastAsia"/>
        </w:rPr>
      </w:pPr>
      <w:r>
        <w:rPr>
          <w:rFonts w:eastAsiaTheme="minorEastAsia"/>
          <w:lang w:val="en-GB"/>
        </w:rPr>
        <w:t>In case of</w:t>
      </w:r>
      <w:r>
        <w:rPr>
          <w:rFonts w:eastAsiaTheme="minorEastAsia" w:hint="eastAsia"/>
        </w:rPr>
        <w:t xml:space="preserve"> type 2 configured grant, </w:t>
      </w:r>
      <w:r>
        <w:rPr>
          <w:rFonts w:eastAsiaTheme="minorEastAsia"/>
        </w:rPr>
        <w:t>multiple configuration</w:t>
      </w:r>
      <w:r w:rsidR="006B39B9">
        <w:rPr>
          <w:rFonts w:eastAsiaTheme="minorEastAsia"/>
        </w:rPr>
        <w:t>s</w:t>
      </w:r>
      <w:r>
        <w:rPr>
          <w:rFonts w:eastAsiaTheme="minorEastAsia"/>
        </w:rPr>
        <w:t xml:space="preserve"> would require multiple activation/release DCI. If those configuration all are used for single service, i.e., for enhancing latency and reliability, resource allocation information in activation DCIs may not have much differences. Considering limited PDCCH resource, it is beneficial to support </w:t>
      </w:r>
      <w:r w:rsidR="009D6024">
        <w:rPr>
          <w:rFonts w:eastAsiaTheme="minorEastAsia"/>
        </w:rPr>
        <w:t>s</w:t>
      </w:r>
      <w:r>
        <w:rPr>
          <w:rFonts w:eastAsiaTheme="minorEastAsia"/>
        </w:rPr>
        <w:t xml:space="preserve">ingle DCI </w:t>
      </w:r>
      <w:r w:rsidR="009D6024">
        <w:rPr>
          <w:rFonts w:eastAsiaTheme="minorEastAsia"/>
        </w:rPr>
        <w:t>which is able to activate/release multiple configuration</w:t>
      </w:r>
      <w:r w:rsidR="006B39B9">
        <w:rPr>
          <w:rFonts w:eastAsiaTheme="minorEastAsia"/>
        </w:rPr>
        <w:t>s</w:t>
      </w:r>
      <w:r w:rsidR="009D6024">
        <w:rPr>
          <w:rFonts w:eastAsiaTheme="minorEastAsia"/>
        </w:rPr>
        <w:t>. Especially, it is clear that all corresponding configuration should be released when the service is no longer served. For this, it can be considered some configuration has dependency on other configuration.</w:t>
      </w:r>
    </w:p>
    <w:p w14:paraId="073CE204" w14:textId="7B5D8F45" w:rsidR="009D6024" w:rsidRDefault="009C645A" w:rsidP="009D6024">
      <w:pPr>
        <w:pStyle w:val="Proposal"/>
      </w:pPr>
      <w:r>
        <w:t xml:space="preserve">Proposal </w:t>
      </w:r>
      <w:r w:rsidR="008040C0">
        <w:t>3</w:t>
      </w:r>
      <w:r w:rsidR="009D6024">
        <w:t>: For multiple configuration</w:t>
      </w:r>
      <w:r w:rsidR="006B39B9">
        <w:t>s</w:t>
      </w:r>
      <w:r w:rsidR="009D6024">
        <w:t xml:space="preserve"> of configured grant, </w:t>
      </w:r>
      <w:r w:rsidR="009D6024" w:rsidRPr="009D6024">
        <w:t xml:space="preserve">it is </w:t>
      </w:r>
      <w:r w:rsidR="009D6024">
        <w:t>necessary</w:t>
      </w:r>
      <w:r w:rsidR="009D6024" w:rsidRPr="009D6024">
        <w:t xml:space="preserve"> to support </w:t>
      </w:r>
      <w:r w:rsidR="009D6024">
        <w:t xml:space="preserve">a </w:t>
      </w:r>
      <w:r w:rsidR="00947088">
        <w:t xml:space="preserve">DCI which is able </w:t>
      </w:r>
      <w:r>
        <w:t>at least</w:t>
      </w:r>
      <w:r w:rsidR="00947088">
        <w:t xml:space="preserve"> to </w:t>
      </w:r>
      <w:r w:rsidR="009D6024" w:rsidRPr="009D6024">
        <w:t>release multiple configuration</w:t>
      </w:r>
      <w:r w:rsidR="006B39B9">
        <w:t>s</w:t>
      </w:r>
      <w:r w:rsidR="009D6024" w:rsidRPr="009D6024">
        <w:t>.</w:t>
      </w:r>
    </w:p>
    <w:p w14:paraId="621FD8D9" w14:textId="72DF3526" w:rsidR="009D6024" w:rsidRDefault="009D6024" w:rsidP="00745806">
      <w:pPr>
        <w:pStyle w:val="Proposal"/>
        <w:numPr>
          <w:ilvl w:val="0"/>
          <w:numId w:val="54"/>
        </w:numPr>
      </w:pPr>
      <w:r>
        <w:rPr>
          <w:rFonts w:hint="eastAsia"/>
        </w:rPr>
        <w:t xml:space="preserve">Each configuration can be configured with </w:t>
      </w:r>
      <w:r w:rsidRPr="009D6024">
        <w:t>dependency on other configuration</w:t>
      </w:r>
    </w:p>
    <w:p w14:paraId="7806DDE0" w14:textId="77766AAA" w:rsidR="009D6024" w:rsidRDefault="009C645A" w:rsidP="00745806">
      <w:pPr>
        <w:pStyle w:val="Proposal"/>
        <w:numPr>
          <w:ilvl w:val="0"/>
          <w:numId w:val="54"/>
        </w:numPr>
      </w:pPr>
      <w:r>
        <w:t>I</w:t>
      </w:r>
      <w:r>
        <w:rPr>
          <w:rFonts w:hint="eastAsia"/>
        </w:rPr>
        <w:t xml:space="preserve">f </w:t>
      </w:r>
      <w:r>
        <w:t>a configuration is released, all other configuration having dependency on the configuration are released.</w:t>
      </w:r>
    </w:p>
    <w:p w14:paraId="24A23464" w14:textId="53CFE7BE" w:rsidR="00CE28B9" w:rsidRDefault="000864AE" w:rsidP="00CE28B9">
      <w:pPr>
        <w:pStyle w:val="Doc"/>
        <w:rPr>
          <w:rFonts w:eastAsiaTheme="minorEastAsia"/>
        </w:rPr>
      </w:pPr>
      <w:r>
        <w:rPr>
          <w:rFonts w:eastAsiaTheme="minorEastAsia" w:hint="eastAsia"/>
        </w:rPr>
        <w:t>For activation</w:t>
      </w:r>
      <w:r>
        <w:rPr>
          <w:rFonts w:eastAsiaTheme="minorEastAsia"/>
        </w:rPr>
        <w:t>s with single DCI</w:t>
      </w:r>
      <w:r>
        <w:rPr>
          <w:rFonts w:eastAsiaTheme="minorEastAsia" w:hint="eastAsia"/>
        </w:rPr>
        <w:t xml:space="preserve">, it is necessary to indicate multiple PUSCH </w:t>
      </w:r>
      <w:r>
        <w:rPr>
          <w:rFonts w:eastAsiaTheme="minorEastAsia"/>
        </w:rPr>
        <w:t>resource</w:t>
      </w:r>
      <w:r>
        <w:rPr>
          <w:rFonts w:eastAsiaTheme="minorEastAsia" w:hint="eastAsia"/>
        </w:rPr>
        <w:t xml:space="preserve"> </w:t>
      </w:r>
      <w:r>
        <w:rPr>
          <w:rFonts w:eastAsiaTheme="minorEastAsia"/>
        </w:rPr>
        <w:t>allocation for multiple configuration</w:t>
      </w:r>
      <w:r w:rsidR="006B39B9">
        <w:rPr>
          <w:rFonts w:eastAsiaTheme="minorEastAsia"/>
        </w:rPr>
        <w:t>s</w:t>
      </w:r>
      <w:r>
        <w:rPr>
          <w:rFonts w:eastAsiaTheme="minorEastAsia"/>
        </w:rPr>
        <w:t xml:space="preserve">. </w:t>
      </w:r>
      <w:r w:rsidR="00A761B1">
        <w:rPr>
          <w:rFonts w:eastAsiaTheme="minorEastAsia"/>
        </w:rPr>
        <w:t xml:space="preserve">If one DCI indicates multiple time-domain resource allocation, </w:t>
      </w:r>
      <w:r>
        <w:rPr>
          <w:rFonts w:eastAsiaTheme="minorEastAsia"/>
        </w:rPr>
        <w:t xml:space="preserve">one </w:t>
      </w:r>
      <w:r w:rsidR="0032050F">
        <w:rPr>
          <w:rFonts w:eastAsiaTheme="minorEastAsia"/>
        </w:rPr>
        <w:t xml:space="preserve">DCI </w:t>
      </w:r>
      <w:r w:rsidR="00A761B1">
        <w:rPr>
          <w:rFonts w:eastAsiaTheme="minorEastAsia"/>
        </w:rPr>
        <w:t>may also be able to</w:t>
      </w:r>
      <w:r w:rsidR="0032050F">
        <w:rPr>
          <w:rFonts w:eastAsiaTheme="minorEastAsia"/>
        </w:rPr>
        <w:t xml:space="preserve"> activate multiple configuration</w:t>
      </w:r>
      <w:r w:rsidR="006B39B9">
        <w:rPr>
          <w:rFonts w:eastAsiaTheme="minorEastAsia"/>
        </w:rPr>
        <w:t>s</w:t>
      </w:r>
      <w:r w:rsidR="0032050F">
        <w:rPr>
          <w:rFonts w:eastAsiaTheme="minorEastAsia"/>
        </w:rPr>
        <w:t xml:space="preserve"> </w:t>
      </w:r>
      <w:r w:rsidR="00A761B1">
        <w:rPr>
          <w:rFonts w:eastAsiaTheme="minorEastAsia"/>
        </w:rPr>
        <w:t xml:space="preserve">at once. </w:t>
      </w:r>
      <w:r w:rsidR="00CE28B9">
        <w:rPr>
          <w:rFonts w:eastAsiaTheme="minorEastAsia"/>
        </w:rPr>
        <w:t>In this sense, it is better to discuss about enhancement of activation DCI after</w:t>
      </w:r>
      <w:r w:rsidR="00A761B1">
        <w:rPr>
          <w:rFonts w:eastAsiaTheme="minorEastAsia"/>
        </w:rPr>
        <w:t xml:space="preserve"> we make a decision on how to allocate PUSCH resource for URLLC in </w:t>
      </w:r>
      <w:r w:rsidR="00CE28B9">
        <w:rPr>
          <w:rFonts w:eastAsiaTheme="minorEastAsia"/>
        </w:rPr>
        <w:t>PUSCH enhancement agenda.</w:t>
      </w:r>
    </w:p>
    <w:p w14:paraId="631E9EA4" w14:textId="0B305779" w:rsidR="00B31030" w:rsidRPr="00B31030" w:rsidRDefault="000864AE" w:rsidP="00CE28B9">
      <w:pPr>
        <w:pStyle w:val="Proposal"/>
      </w:pPr>
      <w:r>
        <w:t xml:space="preserve">Proposal </w:t>
      </w:r>
      <w:r w:rsidR="008040C0">
        <w:t>4</w:t>
      </w:r>
      <w:r>
        <w:t>: For multiple configuration</w:t>
      </w:r>
      <w:r w:rsidR="006B39B9">
        <w:t>s</w:t>
      </w:r>
      <w:r>
        <w:t xml:space="preserve"> of configured grant, </w:t>
      </w:r>
      <w:r w:rsidR="00CE28B9">
        <w:t xml:space="preserve">it should </w:t>
      </w:r>
      <w:r>
        <w:t xml:space="preserve">be </w:t>
      </w:r>
      <w:r w:rsidR="00CE28B9">
        <w:t>discussed whether/how to</w:t>
      </w:r>
      <w:r>
        <w:t xml:space="preserve"> support a DCI which is able to activate </w:t>
      </w:r>
      <w:r w:rsidRPr="000864AE">
        <w:t>multiple configuration</w:t>
      </w:r>
      <w:r w:rsidR="006B39B9">
        <w:t>s</w:t>
      </w:r>
      <w:r w:rsidR="00CE28B9">
        <w:t xml:space="preserve"> after the decision on how to allocate PUSCH for URLLC</w:t>
      </w:r>
    </w:p>
    <w:p w14:paraId="49050331" w14:textId="69A97BAD" w:rsidR="004B18C8" w:rsidRDefault="009E47D9" w:rsidP="00DB383F">
      <w:pPr>
        <w:pStyle w:val="10"/>
      </w:pPr>
      <w:r>
        <w:lastRenderedPageBreak/>
        <w:t xml:space="preserve">Determining available symbol </w:t>
      </w:r>
      <w:r w:rsidR="00B724FF">
        <w:t>for configured grant</w:t>
      </w:r>
    </w:p>
    <w:p w14:paraId="031833D1" w14:textId="69FA4979" w:rsidR="004B18C8" w:rsidRDefault="002561E2" w:rsidP="004B18C8">
      <w:pPr>
        <w:pStyle w:val="Doc"/>
        <w:ind w:firstLineChars="0" w:firstLine="0"/>
        <w:rPr>
          <w:rFonts w:eastAsiaTheme="minorEastAsia"/>
          <w:lang w:val="en-GB"/>
        </w:rPr>
      </w:pPr>
      <w:r>
        <w:rPr>
          <w:rFonts w:eastAsiaTheme="minorEastAsia"/>
          <w:lang w:val="en-GB"/>
        </w:rPr>
        <w:t>Even if multiple configuration</w:t>
      </w:r>
      <w:r w:rsidR="006B39B9">
        <w:rPr>
          <w:rFonts w:eastAsiaTheme="minorEastAsia"/>
          <w:lang w:val="en-GB"/>
        </w:rPr>
        <w:t>s</w:t>
      </w:r>
      <w:r>
        <w:rPr>
          <w:rFonts w:eastAsiaTheme="minorEastAsia"/>
          <w:lang w:val="en-GB"/>
        </w:rPr>
        <w:t xml:space="preserve"> </w:t>
      </w:r>
      <w:r w:rsidR="006B39B9">
        <w:rPr>
          <w:rFonts w:eastAsiaTheme="minorEastAsia"/>
          <w:lang w:val="en-GB"/>
        </w:rPr>
        <w:t>are</w:t>
      </w:r>
      <w:r>
        <w:rPr>
          <w:rFonts w:eastAsiaTheme="minorEastAsia"/>
          <w:lang w:val="en-GB"/>
        </w:rPr>
        <w:t xml:space="preserve"> supported or repetition can cross periodicity boundary</w:t>
      </w:r>
      <w:r w:rsidR="004B18C8">
        <w:rPr>
          <w:rFonts w:eastAsiaTheme="minorEastAsia"/>
          <w:lang w:val="en-GB"/>
        </w:rPr>
        <w:t xml:space="preserve">, a </w:t>
      </w:r>
      <w:r w:rsidR="00B724FF">
        <w:rPr>
          <w:rFonts w:eastAsiaTheme="minorEastAsia"/>
          <w:lang w:val="en-GB"/>
        </w:rPr>
        <w:t xml:space="preserve">remaining </w:t>
      </w:r>
      <w:r w:rsidR="004B18C8">
        <w:rPr>
          <w:rFonts w:eastAsiaTheme="minorEastAsia"/>
          <w:lang w:val="en-GB"/>
        </w:rPr>
        <w:t>issue is slot-boundary handing. When transmission starts at near end of slot, repetition may need to cross slot boundary to ensure K times transmission.</w:t>
      </w:r>
      <w:r>
        <w:rPr>
          <w:rFonts w:eastAsiaTheme="minorEastAsia"/>
          <w:lang w:val="en-GB"/>
        </w:rPr>
        <w:t xml:space="preserve"> If we don’t have any kind of handling, a repetition crossing slot boundary would be abandoned. In this case, it is hard to ensure K times repetition. </w:t>
      </w:r>
    </w:p>
    <w:p w14:paraId="01B15695" w14:textId="74734455" w:rsidR="006E675A" w:rsidRDefault="004B18C8" w:rsidP="004C3E26">
      <w:pPr>
        <w:pStyle w:val="Doc"/>
        <w:ind w:firstLineChars="0" w:firstLine="0"/>
        <w:rPr>
          <w:rFonts w:eastAsiaTheme="minorEastAsia"/>
        </w:rPr>
      </w:pPr>
      <w:r>
        <w:rPr>
          <w:rFonts w:eastAsiaTheme="minorEastAsia"/>
          <w:lang w:val="en-GB"/>
        </w:rPr>
        <w:t>As discussed in RAN1#92, it had been discussed already how to handle slot boundary. There were different flavours of contiguous repetition</w:t>
      </w:r>
      <w:r w:rsidR="006E675A">
        <w:rPr>
          <w:rFonts w:eastAsiaTheme="minorEastAsia"/>
          <w:lang w:val="en-GB"/>
        </w:rPr>
        <w:t xml:space="preserve">. </w:t>
      </w:r>
      <w:r w:rsidR="006E675A">
        <w:rPr>
          <w:rFonts w:eastAsiaTheme="minorEastAsia"/>
        </w:rPr>
        <w:t xml:space="preserve">In creating non-slot transmission </w:t>
      </w:r>
      <w:r w:rsidR="00AC74EA">
        <w:rPr>
          <w:rFonts w:eastAsiaTheme="minorEastAsia"/>
        </w:rPr>
        <w:t>occasion (</w:t>
      </w:r>
      <w:r w:rsidR="006E675A">
        <w:rPr>
          <w:rFonts w:eastAsiaTheme="minorEastAsia"/>
        </w:rPr>
        <w:t xml:space="preserve">TO) over slot boundary, we can consider the following options. </w:t>
      </w:r>
    </w:p>
    <w:p w14:paraId="0B5341DD" w14:textId="2022CC3C" w:rsidR="006E675A" w:rsidRDefault="006E675A" w:rsidP="006E675A">
      <w:pPr>
        <w:pStyle w:val="Doc"/>
        <w:numPr>
          <w:ilvl w:val="0"/>
          <w:numId w:val="44"/>
        </w:numPr>
        <w:ind w:firstLineChars="0"/>
      </w:pPr>
      <w:r>
        <w:t xml:space="preserve">Option 1 is to create </w:t>
      </w:r>
      <w:r>
        <w:rPr>
          <w:rFonts w:eastAsiaTheme="minorEastAsia"/>
        </w:rPr>
        <w:t>TO</w:t>
      </w:r>
      <w:r>
        <w:t xml:space="preserve"> starting from 1st symbol in next slot. This however may count ‘fixed DL’ as potential TOs. </w:t>
      </w:r>
    </w:p>
    <w:p w14:paraId="14126374" w14:textId="77777777" w:rsidR="006E675A" w:rsidRDefault="006E675A" w:rsidP="006E675A">
      <w:pPr>
        <w:pStyle w:val="Doc"/>
        <w:numPr>
          <w:ilvl w:val="0"/>
          <w:numId w:val="44"/>
        </w:numPr>
        <w:ind w:firstLineChars="0"/>
      </w:pPr>
      <w:r>
        <w:t xml:space="preserve">Option 2 is to create TO starting from 1st flexible or fixed UL symbol in next slot. This would exclude fixed DL from counting TOs. </w:t>
      </w:r>
    </w:p>
    <w:p w14:paraId="48E233AA" w14:textId="77777777" w:rsidR="00293760" w:rsidRDefault="006E675A" w:rsidP="006E675A">
      <w:pPr>
        <w:pStyle w:val="Doc"/>
        <w:numPr>
          <w:ilvl w:val="0"/>
          <w:numId w:val="44"/>
        </w:numPr>
        <w:ind w:firstLineChars="0"/>
      </w:pPr>
      <w:r>
        <w:t>Option 3 is to create TO starting from the same starting OFDM symbol of current slot for TO creation in the next slot as well. In other words, this reuses time-domain resource allocation of configured grant at next slot. As a result of this, UE shall use same symbol as long as possible for each slot. Considering slot-level repetitions of other UE, the last option has benefit in terms of resource utilization.</w:t>
      </w:r>
    </w:p>
    <w:p w14:paraId="207E0B09" w14:textId="0CF51520" w:rsidR="006E675A" w:rsidRPr="00293760" w:rsidRDefault="00293760" w:rsidP="00B30E0A">
      <w:pPr>
        <w:pStyle w:val="ad"/>
        <w:numPr>
          <w:ilvl w:val="0"/>
          <w:numId w:val="44"/>
        </w:numPr>
        <w:ind w:leftChars="0"/>
      </w:pPr>
      <w:r w:rsidRPr="00293760">
        <w:rPr>
          <w:rFonts w:ascii="Times New Roman" w:eastAsia="MS Mincho" w:hAnsi="Times New Roman" w:cs="Times New Roman"/>
          <w:sz w:val="22"/>
          <w:szCs w:val="22"/>
        </w:rPr>
        <w:t xml:space="preserve">Option </w:t>
      </w:r>
      <w:r>
        <w:rPr>
          <w:rFonts w:ascii="Times New Roman" w:eastAsia="MS Mincho" w:hAnsi="Times New Roman" w:cs="Times New Roman"/>
          <w:sz w:val="22"/>
          <w:szCs w:val="22"/>
        </w:rPr>
        <w:t>4</w:t>
      </w:r>
      <w:r w:rsidRPr="00293760">
        <w:rPr>
          <w:rFonts w:ascii="Times New Roman" w:eastAsia="MS Mincho" w:hAnsi="Times New Roman" w:cs="Times New Roman"/>
          <w:sz w:val="22"/>
          <w:szCs w:val="22"/>
        </w:rPr>
        <w:t xml:space="preserve"> is to create TO starting from 1st fixed UL symbol in next slot. This would </w:t>
      </w:r>
      <w:r>
        <w:rPr>
          <w:rFonts w:ascii="Times New Roman" w:eastAsia="MS Mincho" w:hAnsi="Times New Roman" w:cs="Times New Roman"/>
          <w:sz w:val="22"/>
          <w:szCs w:val="22"/>
        </w:rPr>
        <w:t>avoid slot format ambiguity from dynamic SFI missing.</w:t>
      </w:r>
    </w:p>
    <w:p w14:paraId="2FF38A37" w14:textId="313833BC" w:rsidR="001B2B4D" w:rsidRPr="004C3E26" w:rsidRDefault="007E34BC" w:rsidP="00B30E0A">
      <w:pPr>
        <w:pStyle w:val="Doc"/>
        <w:keepNext/>
        <w:ind w:firstLineChars="0" w:firstLine="0"/>
        <w:rPr>
          <w:rFonts w:eastAsiaTheme="minorEastAsia"/>
        </w:rPr>
      </w:pPr>
      <w:r>
        <w:rPr>
          <w:rFonts w:eastAsiaTheme="minorEastAsia"/>
          <w:noProof/>
        </w:rPr>
        <w:drawing>
          <wp:inline distT="0" distB="0" distL="0" distR="0" wp14:anchorId="318F0CC2" wp14:editId="7A5B5386">
            <wp:extent cx="6120000" cy="309354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3093549"/>
                    </a:xfrm>
                    <a:prstGeom prst="rect">
                      <a:avLst/>
                    </a:prstGeom>
                    <a:noFill/>
                  </pic:spPr>
                </pic:pic>
              </a:graphicData>
            </a:graphic>
          </wp:inline>
        </w:drawing>
      </w:r>
    </w:p>
    <w:p w14:paraId="4E6FF9F9" w14:textId="77777777" w:rsidR="006E675A" w:rsidRDefault="006E675A" w:rsidP="006E675A">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possible options to choose postpone resource</w:t>
      </w:r>
    </w:p>
    <w:p w14:paraId="645E1AFF" w14:textId="15291251" w:rsidR="002561E2" w:rsidRDefault="002561E2" w:rsidP="004C3E26">
      <w:pPr>
        <w:pStyle w:val="Doc"/>
        <w:ind w:firstLineChars="0"/>
        <w:rPr>
          <w:rFonts w:eastAsiaTheme="minorEastAsia"/>
          <w:lang w:val="en-GB"/>
        </w:rPr>
      </w:pPr>
      <w:r>
        <w:rPr>
          <w:rFonts w:eastAsiaTheme="minorEastAsia" w:hint="eastAsia"/>
          <w:lang w:val="en-GB"/>
        </w:rPr>
        <w:t xml:space="preserve">When we see figure 2, </w:t>
      </w:r>
      <w:r>
        <w:rPr>
          <w:rFonts w:eastAsiaTheme="minorEastAsia"/>
          <w:lang w:val="en-GB"/>
        </w:rPr>
        <w:t>Option 2 can keep the number of repetition and has smallest latency among options. But some special case, such as</w:t>
      </w:r>
      <w:r w:rsidR="002733AE">
        <w:rPr>
          <w:rFonts w:eastAsiaTheme="minorEastAsia"/>
          <w:lang w:val="en-GB"/>
        </w:rPr>
        <w:t xml:space="preserve"> a slot having DL/UL switching gap, some flexible resource cannot be </w:t>
      </w:r>
      <w:r w:rsidR="002733AE">
        <w:rPr>
          <w:rFonts w:eastAsiaTheme="minorEastAsia"/>
          <w:lang w:val="en-GB"/>
        </w:rPr>
        <w:lastRenderedPageBreak/>
        <w:t>used practically. If a UE choose 1</w:t>
      </w:r>
      <w:r w:rsidR="002733AE" w:rsidRPr="004C3E26">
        <w:rPr>
          <w:rFonts w:eastAsiaTheme="minorEastAsia"/>
          <w:vertAlign w:val="superscript"/>
          <w:lang w:val="en-GB"/>
        </w:rPr>
        <w:t>st</w:t>
      </w:r>
      <w:r w:rsidR="002733AE">
        <w:rPr>
          <w:rFonts w:eastAsiaTheme="minorEastAsia"/>
          <w:lang w:val="en-GB"/>
        </w:rPr>
        <w:t xml:space="preserve"> flexible UL symbol in a slot having switching point, it shall be unusable. </w:t>
      </w:r>
      <w:r w:rsidR="00E03FD9">
        <w:rPr>
          <w:rFonts w:eastAsiaTheme="minorEastAsia"/>
          <w:lang w:val="en-GB"/>
        </w:rPr>
        <w:t xml:space="preserve">From this point of view, for some special case; if every slot has self-contained structure in future, Option 3 is most resource efficient and </w:t>
      </w:r>
      <w:r w:rsidR="0060267B">
        <w:rPr>
          <w:rFonts w:eastAsiaTheme="minorEastAsia"/>
          <w:lang w:val="en-GB"/>
        </w:rPr>
        <w:t xml:space="preserve">able to choose suitable resource properly. </w:t>
      </w:r>
      <w:r w:rsidR="00534AF3">
        <w:rPr>
          <w:rFonts w:eastAsiaTheme="minorEastAsia"/>
          <w:lang w:val="en-GB"/>
        </w:rPr>
        <w:t xml:space="preserve">And Option 4 is most safe way to select available resource. </w:t>
      </w:r>
      <w:r w:rsidR="002733AE">
        <w:rPr>
          <w:rFonts w:eastAsiaTheme="minorEastAsia"/>
          <w:lang w:val="en-GB"/>
        </w:rPr>
        <w:t xml:space="preserve">So, we </w:t>
      </w:r>
      <w:r w:rsidR="00534AF3">
        <w:rPr>
          <w:rFonts w:eastAsiaTheme="minorEastAsia"/>
          <w:lang w:val="en-GB"/>
        </w:rPr>
        <w:t>propose</w:t>
      </w:r>
      <w:r w:rsidR="002733AE">
        <w:rPr>
          <w:rFonts w:eastAsiaTheme="minorEastAsia"/>
          <w:lang w:val="en-GB"/>
        </w:rPr>
        <w:t xml:space="preserve"> the combination of those options according to slot format determination.</w:t>
      </w:r>
    </w:p>
    <w:p w14:paraId="48AF84B2" w14:textId="33B3EE54" w:rsidR="002733AE" w:rsidRDefault="00CC1500" w:rsidP="00CC1500">
      <w:pPr>
        <w:pStyle w:val="Proposal"/>
      </w:pPr>
      <w:r>
        <w:t xml:space="preserve">Proposal </w:t>
      </w:r>
      <w:r w:rsidR="009E653F">
        <w:t>5</w:t>
      </w:r>
      <w:r>
        <w:t xml:space="preserve">: </w:t>
      </w:r>
      <w:r w:rsidR="00745806">
        <w:t>For mini-slot based repetitions</w:t>
      </w:r>
      <w:r w:rsidR="004301EF">
        <w:t xml:space="preserve">, </w:t>
      </w:r>
      <w:r w:rsidR="002733AE">
        <w:t xml:space="preserve">following </w:t>
      </w:r>
      <w:r w:rsidR="00E03FD9">
        <w:t>is adopted for determining available symbol</w:t>
      </w:r>
      <w:r w:rsidR="002733AE">
        <w:t>:</w:t>
      </w:r>
    </w:p>
    <w:p w14:paraId="15FD8F21" w14:textId="1B1C1455" w:rsidR="002733AE" w:rsidRDefault="002733AE" w:rsidP="00DB383F">
      <w:pPr>
        <w:pStyle w:val="Proposal"/>
        <w:numPr>
          <w:ilvl w:val="0"/>
          <w:numId w:val="53"/>
        </w:numPr>
      </w:pPr>
      <w:r>
        <w:t>If a slot doesn’t have DL/UL switching point, TO</w:t>
      </w:r>
      <w:r w:rsidR="00E03FD9">
        <w:t>(s) is/are</w:t>
      </w:r>
      <w:r>
        <w:t xml:space="preserve"> created from earliest </w:t>
      </w:r>
      <w:r w:rsidR="00E03FD9">
        <w:t>symbol indicated as flexible by semi-static DL/UL configuration.</w:t>
      </w:r>
    </w:p>
    <w:p w14:paraId="514B928D" w14:textId="41E1A4E9" w:rsidR="004B18C8" w:rsidRPr="00DB2CCB" w:rsidRDefault="002733AE" w:rsidP="008040C0">
      <w:pPr>
        <w:pStyle w:val="Proposal"/>
        <w:numPr>
          <w:ilvl w:val="0"/>
          <w:numId w:val="53"/>
        </w:numPr>
      </w:pPr>
      <w:r>
        <w:t xml:space="preserve">If </w:t>
      </w:r>
      <w:r w:rsidR="00E03FD9">
        <w:t>a slot has</w:t>
      </w:r>
      <w:r>
        <w:t xml:space="preserve"> DL/UL switching point,</w:t>
      </w:r>
      <w:r w:rsidR="00E03FD9">
        <w:t xml:space="preserve"> </w:t>
      </w:r>
      <w:r w:rsidR="00E03FD9">
        <w:rPr>
          <w:rFonts w:hint="eastAsia"/>
        </w:rPr>
        <w:t>TO</w:t>
      </w:r>
      <w:r w:rsidR="00E03FD9">
        <w:t>(s)</w:t>
      </w:r>
      <w:r w:rsidR="00E03FD9">
        <w:rPr>
          <w:rFonts w:hint="eastAsia"/>
        </w:rPr>
        <w:t xml:space="preserve"> is</w:t>
      </w:r>
      <w:r w:rsidR="00E03FD9">
        <w:t>/are</w:t>
      </w:r>
      <w:r w:rsidR="00E03FD9">
        <w:rPr>
          <w:rFonts w:hint="eastAsia"/>
        </w:rPr>
        <w:t xml:space="preserve"> created from </w:t>
      </w:r>
      <w:r w:rsidR="00E03FD9" w:rsidRPr="00E03FD9">
        <w:t>earliest symbol</w:t>
      </w:r>
      <w:r w:rsidR="00E03FD9">
        <w:t xml:space="preserve"> indicated as uplink by semi-static DL/UL configuration</w:t>
      </w:r>
      <w:r w:rsidR="00AC74EA">
        <w:t xml:space="preserve"> or </w:t>
      </w:r>
      <w:r w:rsidR="00E03FD9" w:rsidRPr="00E03FD9">
        <w:t>same starting OFDM symbol</w:t>
      </w:r>
      <w:r w:rsidR="00E03FD9">
        <w:t xml:space="preserve"> with first TO</w:t>
      </w:r>
      <w:r w:rsidR="00AC74EA">
        <w:t>, whichever is earlier.</w:t>
      </w: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31E3386F" w14:textId="77777777" w:rsidR="008040C0" w:rsidRPr="00DD733D" w:rsidRDefault="008040C0" w:rsidP="008040C0">
      <w:pPr>
        <w:pStyle w:val="Proposal"/>
      </w:pPr>
      <w:r>
        <w:rPr>
          <w:rFonts w:hint="eastAsia"/>
        </w:rPr>
        <w:t xml:space="preserve">Proposal </w:t>
      </w:r>
      <w:r>
        <w:t>1</w:t>
      </w:r>
      <w:r>
        <w:rPr>
          <w:rFonts w:hint="eastAsia"/>
        </w:rPr>
        <w:t xml:space="preserve">: </w:t>
      </w:r>
      <w:r w:rsidRPr="002F3AEC">
        <w:t>RAN1 discusses how to reduce latency and enhance reliability with multiple configured periodic resources. Overall higher layer signaling design of multiple configured grant configurations should be up to RAN2</w:t>
      </w:r>
      <w:r>
        <w:t xml:space="preserve"> </w:t>
      </w:r>
    </w:p>
    <w:p w14:paraId="74F8B67D" w14:textId="77777777" w:rsidR="008040C0" w:rsidRDefault="008040C0" w:rsidP="008040C0">
      <w:pPr>
        <w:pStyle w:val="Proposal"/>
      </w:pPr>
      <w:r>
        <w:t>Proposal 2: For multiple configurations of configured grant,</w:t>
      </w:r>
    </w:p>
    <w:p w14:paraId="047DD426" w14:textId="77777777" w:rsidR="008040C0" w:rsidRDefault="008040C0" w:rsidP="008040C0">
      <w:pPr>
        <w:pStyle w:val="Proposal"/>
        <w:numPr>
          <w:ilvl w:val="0"/>
          <w:numId w:val="54"/>
        </w:numPr>
      </w:pPr>
      <w:r>
        <w:t>HARQ process pool of each configuration can be shared among multiple configurations.</w:t>
      </w:r>
    </w:p>
    <w:p w14:paraId="6A40574C" w14:textId="77777777" w:rsidR="008040C0" w:rsidRDefault="008040C0" w:rsidP="008040C0">
      <w:pPr>
        <w:pStyle w:val="Proposal"/>
        <w:numPr>
          <w:ilvl w:val="0"/>
          <w:numId w:val="54"/>
        </w:numPr>
      </w:pPr>
      <w:r>
        <w:t>F</w:t>
      </w:r>
      <w:r>
        <w:rPr>
          <w:rFonts w:hint="eastAsia"/>
        </w:rPr>
        <w:t xml:space="preserve">ollowing </w:t>
      </w:r>
      <w:r>
        <w:t>two parameter need to be adopted:</w:t>
      </w:r>
    </w:p>
    <w:p w14:paraId="4161DFDE" w14:textId="77777777" w:rsidR="008040C0" w:rsidRPr="006F70A9" w:rsidRDefault="008040C0" w:rsidP="008040C0">
      <w:pPr>
        <w:pStyle w:val="Proposal"/>
        <w:numPr>
          <w:ilvl w:val="1"/>
          <w:numId w:val="54"/>
        </w:numPr>
      </w:pPr>
      <w:r w:rsidRPr="008353D6">
        <w:rPr>
          <w:b w:val="0"/>
        </w:rPr>
        <w:t>harq-ProcID-offset</w:t>
      </w:r>
      <w:r>
        <w:rPr>
          <w:b w:val="0"/>
        </w:rPr>
        <w:t>: HARQ process ID offset between/among different configuration</w:t>
      </w:r>
    </w:p>
    <w:p w14:paraId="62D618A5" w14:textId="77777777" w:rsidR="008040C0" w:rsidRPr="002518B5" w:rsidRDefault="008040C0" w:rsidP="008040C0">
      <w:pPr>
        <w:pStyle w:val="Proposal"/>
        <w:numPr>
          <w:ilvl w:val="1"/>
          <w:numId w:val="54"/>
        </w:numPr>
      </w:pPr>
      <w:r w:rsidRPr="008353D6">
        <w:rPr>
          <w:b w:val="0"/>
        </w:rPr>
        <w:t>symbol-offset</w:t>
      </w:r>
      <w:r>
        <w:rPr>
          <w:b w:val="0"/>
        </w:rPr>
        <w:t>: adjustment HARQ process ID determination for one configuration</w:t>
      </w:r>
    </w:p>
    <w:p w14:paraId="4A7C5958" w14:textId="77777777" w:rsidR="008040C0" w:rsidRDefault="008040C0" w:rsidP="008040C0">
      <w:pPr>
        <w:pStyle w:val="Proposal"/>
        <w:numPr>
          <w:ilvl w:val="0"/>
          <w:numId w:val="54"/>
        </w:numPr>
      </w:pPr>
      <w:r>
        <w:rPr>
          <w:rFonts w:hint="eastAsia"/>
        </w:rPr>
        <w:t>To determine HARQ process ID of configured grant, following equation can be considered:</w:t>
      </w:r>
    </w:p>
    <w:p w14:paraId="1F7C51EC" w14:textId="77777777" w:rsidR="008040C0" w:rsidRDefault="008040C0" w:rsidP="008040C0">
      <w:pPr>
        <w:pStyle w:val="Proposal"/>
        <w:numPr>
          <w:ilvl w:val="1"/>
          <w:numId w:val="54"/>
        </w:numPr>
        <w:rPr>
          <w:b w:val="0"/>
        </w:rPr>
      </w:pPr>
      <w:r w:rsidRPr="002518B5">
        <w:rPr>
          <w:b w:val="0"/>
        </w:rPr>
        <w:t xml:space="preserve">HARQ Process ID = [floor((CURRENT_symbol + </w:t>
      </w:r>
      <w:r w:rsidRPr="002518B5">
        <w:t>symbol-offset</w:t>
      </w:r>
      <w:r w:rsidRPr="002518B5">
        <w:rPr>
          <w:b w:val="0"/>
        </w:rPr>
        <w:t xml:space="preserve">)/periodicity)] modulo nrofHARQ-Processes + </w:t>
      </w:r>
      <w:r w:rsidRPr="002518B5">
        <w:t>harq-ProcID-offset</w:t>
      </w:r>
      <w:r w:rsidRPr="002518B5">
        <w:rPr>
          <w:b w:val="0"/>
        </w:rPr>
        <w:t>, where CURRENT_symbol refers the number of symbols from SFN0</w:t>
      </w:r>
    </w:p>
    <w:p w14:paraId="7F5F931D" w14:textId="77777777" w:rsidR="008040C0" w:rsidRPr="002518B5" w:rsidRDefault="008040C0" w:rsidP="008040C0">
      <w:pPr>
        <w:pStyle w:val="Proposal"/>
        <w:numPr>
          <w:ilvl w:val="1"/>
          <w:numId w:val="54"/>
        </w:numPr>
        <w:rPr>
          <w:b w:val="0"/>
        </w:rPr>
      </w:pPr>
      <w:r>
        <w:rPr>
          <w:b w:val="0"/>
        </w:rPr>
        <w:t>Note: only parameters shown in bold type are newly added in above equation.</w:t>
      </w:r>
    </w:p>
    <w:p w14:paraId="3F03EAD8" w14:textId="77777777" w:rsidR="008040C0" w:rsidRDefault="008040C0" w:rsidP="008040C0">
      <w:pPr>
        <w:pStyle w:val="Proposal"/>
      </w:pPr>
      <w:bookmarkStart w:id="7" w:name="_GoBack"/>
      <w:bookmarkEnd w:id="7"/>
      <w:r>
        <w:t xml:space="preserve">Proposal 3: For multiple configurations of configured grant, </w:t>
      </w:r>
      <w:r w:rsidRPr="009D6024">
        <w:t xml:space="preserve">it is </w:t>
      </w:r>
      <w:r>
        <w:t>necessary</w:t>
      </w:r>
      <w:r w:rsidRPr="009D6024">
        <w:t xml:space="preserve"> to support </w:t>
      </w:r>
      <w:r>
        <w:t xml:space="preserve">a DCI which is able at least to </w:t>
      </w:r>
      <w:r w:rsidRPr="009D6024">
        <w:t>release multiple configuration</w:t>
      </w:r>
      <w:r>
        <w:t>s</w:t>
      </w:r>
      <w:r w:rsidRPr="009D6024">
        <w:t>.</w:t>
      </w:r>
    </w:p>
    <w:p w14:paraId="14552B1A" w14:textId="77777777" w:rsidR="008040C0" w:rsidRDefault="008040C0" w:rsidP="008040C0">
      <w:pPr>
        <w:pStyle w:val="Proposal"/>
        <w:numPr>
          <w:ilvl w:val="0"/>
          <w:numId w:val="54"/>
        </w:numPr>
      </w:pPr>
      <w:r>
        <w:rPr>
          <w:rFonts w:hint="eastAsia"/>
        </w:rPr>
        <w:t xml:space="preserve">Each configuration can be configured with </w:t>
      </w:r>
      <w:r w:rsidRPr="009D6024">
        <w:t>dependency on other configuration</w:t>
      </w:r>
    </w:p>
    <w:p w14:paraId="226334A0" w14:textId="77777777" w:rsidR="008040C0" w:rsidRDefault="008040C0" w:rsidP="008040C0">
      <w:pPr>
        <w:pStyle w:val="Proposal"/>
        <w:numPr>
          <w:ilvl w:val="0"/>
          <w:numId w:val="54"/>
        </w:numPr>
      </w:pPr>
      <w:r>
        <w:t>I</w:t>
      </w:r>
      <w:r>
        <w:rPr>
          <w:rFonts w:hint="eastAsia"/>
        </w:rPr>
        <w:t xml:space="preserve">f </w:t>
      </w:r>
      <w:r>
        <w:t>a configuration is released, all other configuration having dependency on the configuration are released.</w:t>
      </w:r>
    </w:p>
    <w:p w14:paraId="52E6B019" w14:textId="77777777" w:rsidR="008040C0" w:rsidRPr="00B31030" w:rsidRDefault="008040C0" w:rsidP="008040C0">
      <w:pPr>
        <w:pStyle w:val="Proposal"/>
      </w:pPr>
      <w:r>
        <w:lastRenderedPageBreak/>
        <w:t xml:space="preserve">Proposal 4: For multiple configurations of configured grant, it should be discussed whether/how to support a DCI which is able to activate </w:t>
      </w:r>
      <w:r w:rsidRPr="000864AE">
        <w:t>multiple configuration</w:t>
      </w:r>
      <w:r>
        <w:t>s after the decision on how to allocate PUSCH for URLLC</w:t>
      </w:r>
    </w:p>
    <w:p w14:paraId="76FE7DFA" w14:textId="37AF885D" w:rsidR="008040C0" w:rsidRDefault="008040C0" w:rsidP="008040C0">
      <w:pPr>
        <w:pStyle w:val="Proposal"/>
      </w:pPr>
      <w:r>
        <w:t xml:space="preserve">Proposal </w:t>
      </w:r>
      <w:r w:rsidR="009E653F">
        <w:t>5</w:t>
      </w:r>
      <w:r>
        <w:t>: For mini-slot based repetitions, following is adopted for determining available symbol:</w:t>
      </w:r>
    </w:p>
    <w:p w14:paraId="1C33EA4A" w14:textId="77777777" w:rsidR="008040C0" w:rsidRDefault="008040C0" w:rsidP="008040C0">
      <w:pPr>
        <w:pStyle w:val="Proposal"/>
        <w:numPr>
          <w:ilvl w:val="0"/>
          <w:numId w:val="53"/>
        </w:numPr>
      </w:pPr>
      <w:r>
        <w:t>If a slot doesn’t have DL/UL switching point, TO(s) is/are created from earliest symbol indicated as flexible by semi-static DL/UL configuration.</w:t>
      </w:r>
    </w:p>
    <w:p w14:paraId="0EAFE623" w14:textId="77777777" w:rsidR="008040C0" w:rsidRPr="00DB2CCB" w:rsidRDefault="008040C0" w:rsidP="008040C0">
      <w:pPr>
        <w:pStyle w:val="Proposal"/>
        <w:numPr>
          <w:ilvl w:val="0"/>
          <w:numId w:val="53"/>
        </w:numPr>
      </w:pPr>
      <w:r>
        <w:t xml:space="preserve">If a slot has DL/UL switching point, </w:t>
      </w:r>
      <w:r>
        <w:rPr>
          <w:rFonts w:hint="eastAsia"/>
        </w:rPr>
        <w:t>TO</w:t>
      </w:r>
      <w:r>
        <w:t>(s)</w:t>
      </w:r>
      <w:r>
        <w:rPr>
          <w:rFonts w:hint="eastAsia"/>
        </w:rPr>
        <w:t xml:space="preserve"> is</w:t>
      </w:r>
      <w:r>
        <w:t>/are</w:t>
      </w:r>
      <w:r>
        <w:rPr>
          <w:rFonts w:hint="eastAsia"/>
        </w:rPr>
        <w:t xml:space="preserve"> created from </w:t>
      </w:r>
      <w:r w:rsidRPr="00E03FD9">
        <w:t>earliest symbol</w:t>
      </w:r>
      <w:r>
        <w:t xml:space="preserve"> indicated as uplink by semi-static DL/UL configuration or </w:t>
      </w:r>
      <w:r w:rsidRPr="00E03FD9">
        <w:t>same starting OFDM symbol</w:t>
      </w:r>
      <w:r>
        <w:t xml:space="preserve"> with first TO, whichever is earlier.</w:t>
      </w:r>
    </w:p>
    <w:p w14:paraId="5649E18C" w14:textId="77777777" w:rsidR="00B02BCE" w:rsidRPr="009E653F"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3F63DA1A" w14:textId="2B307F53" w:rsidR="009D49E5" w:rsidRDefault="009D49E5" w:rsidP="00AB1A7F">
      <w:pPr>
        <w:pStyle w:val="Reference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w:t>
      </w:r>
      <w:r w:rsidR="000C7A30">
        <w:rPr>
          <w:rFonts w:eastAsia="맑은 고딕"/>
          <w:szCs w:val="22"/>
          <w:lang w:eastAsia="ko-KR"/>
        </w:rPr>
        <w:t>#95</w:t>
      </w:r>
    </w:p>
    <w:p w14:paraId="30F11146" w14:textId="0A717264" w:rsidR="000C7A30" w:rsidRDefault="000C7A30" w:rsidP="000C7A30">
      <w:pPr>
        <w:pStyle w:val="References"/>
        <w:tabs>
          <w:tab w:val="clear" w:pos="8581"/>
        </w:tabs>
        <w:ind w:left="567" w:hanging="425"/>
        <w:rPr>
          <w:rFonts w:eastAsia="맑은 고딕"/>
          <w:szCs w:val="22"/>
          <w:lang w:eastAsia="ko-KR"/>
        </w:rPr>
      </w:pPr>
      <w:r>
        <w:rPr>
          <w:rFonts w:eastAsia="맑은 고딕" w:hint="eastAsia"/>
          <w:szCs w:val="22"/>
          <w:lang w:eastAsia="ko-KR"/>
        </w:rPr>
        <w:t>R</w:t>
      </w:r>
      <w:r>
        <w:rPr>
          <w:rFonts w:eastAsia="맑은 고딕"/>
          <w:szCs w:val="22"/>
          <w:lang w:eastAsia="ko-KR"/>
        </w:rPr>
        <w:t xml:space="preserve">P-190726, </w:t>
      </w:r>
      <w:r w:rsidRPr="000C7A30">
        <w:rPr>
          <w:rFonts w:eastAsia="맑은 고딕"/>
          <w:szCs w:val="22"/>
          <w:lang w:eastAsia="ko-KR"/>
        </w:rPr>
        <w:t>New WID: Physical Layer Enhancements for NR Ultra-Reliable and Low Latency Communication (URLLC)</w:t>
      </w:r>
      <w:r>
        <w:rPr>
          <w:rFonts w:eastAsia="맑은 고딕"/>
          <w:szCs w:val="22"/>
          <w:lang w:eastAsia="ko-KR"/>
        </w:rPr>
        <w:t>, RAN#83</w:t>
      </w:r>
    </w:p>
    <w:p w14:paraId="23FA33AC" w14:textId="77777777" w:rsidR="003D6264" w:rsidRDefault="003D6264" w:rsidP="00DB383F">
      <w:pPr>
        <w:pStyle w:val="References"/>
        <w:numPr>
          <w:ilvl w:val="0"/>
          <w:numId w:val="0"/>
        </w:numPr>
        <w:rPr>
          <w:rFonts w:eastAsia="맑은 고딕"/>
          <w:szCs w:val="22"/>
          <w:lang w:eastAsia="ko-KR"/>
        </w:rPr>
      </w:pPr>
    </w:p>
    <w:p w14:paraId="2F926EF2" w14:textId="77777777" w:rsidR="00471EE3" w:rsidRPr="003D6264" w:rsidRDefault="00471EE3" w:rsidP="00DB383F">
      <w:pPr>
        <w:pStyle w:val="References"/>
        <w:numPr>
          <w:ilvl w:val="0"/>
          <w:numId w:val="0"/>
        </w:numPr>
        <w:rPr>
          <w:rFonts w:eastAsia="맑은 고딕"/>
          <w:szCs w:val="22"/>
          <w:lang w:eastAsia="ko-KR"/>
        </w:rPr>
      </w:pPr>
    </w:p>
    <w:p w14:paraId="2FA7A0CA" w14:textId="77777777" w:rsidR="00AB1A7F" w:rsidRPr="000C7A30" w:rsidRDefault="00AB1A7F" w:rsidP="00953189">
      <w:pPr>
        <w:pStyle w:val="References"/>
        <w:numPr>
          <w:ilvl w:val="0"/>
          <w:numId w:val="0"/>
        </w:numPr>
        <w:ind w:left="6031" w:hanging="360"/>
        <w:rPr>
          <w:rFonts w:eastAsia="맑은 고딕"/>
          <w:szCs w:val="22"/>
          <w:lang w:eastAsia="ko-KR"/>
        </w:rPr>
      </w:pPr>
    </w:p>
    <w:sectPr w:rsidR="00AB1A7F" w:rsidRPr="000C7A3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9F65E" w14:textId="77777777" w:rsidR="001549B9" w:rsidRDefault="001549B9" w:rsidP="00CB15B0">
      <w:pPr>
        <w:spacing w:before="0" w:after="0" w:line="240" w:lineRule="auto"/>
      </w:pPr>
      <w:r>
        <w:separator/>
      </w:r>
    </w:p>
  </w:endnote>
  <w:endnote w:type="continuationSeparator" w:id="0">
    <w:p w14:paraId="4E5E13E1" w14:textId="77777777" w:rsidR="001549B9" w:rsidRDefault="001549B9" w:rsidP="00CB15B0">
      <w:pPr>
        <w:spacing w:before="0" w:after="0" w:line="240" w:lineRule="auto"/>
      </w:pPr>
      <w:r>
        <w:continuationSeparator/>
      </w:r>
    </w:p>
  </w:endnote>
  <w:endnote w:type="continuationNotice" w:id="1">
    <w:p w14:paraId="0D60987A" w14:textId="77777777" w:rsidR="001549B9" w:rsidRDefault="001549B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90E1B" w14:textId="77777777" w:rsidR="001549B9" w:rsidRDefault="001549B9" w:rsidP="00CB15B0">
      <w:pPr>
        <w:spacing w:before="0" w:after="0" w:line="240" w:lineRule="auto"/>
      </w:pPr>
      <w:r>
        <w:separator/>
      </w:r>
    </w:p>
  </w:footnote>
  <w:footnote w:type="continuationSeparator" w:id="0">
    <w:p w14:paraId="7311F0AA" w14:textId="77777777" w:rsidR="001549B9" w:rsidRDefault="001549B9" w:rsidP="00CB15B0">
      <w:pPr>
        <w:spacing w:before="0" w:after="0" w:line="240" w:lineRule="auto"/>
      </w:pPr>
      <w:r>
        <w:continuationSeparator/>
      </w:r>
    </w:p>
  </w:footnote>
  <w:footnote w:type="continuationNotice" w:id="1">
    <w:p w14:paraId="514263E9" w14:textId="77777777" w:rsidR="001549B9" w:rsidRDefault="001549B9">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2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4"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35"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6"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4"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7"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8"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54"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55"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9"/>
  </w:num>
  <w:num w:numId="2">
    <w:abstractNumId w:val="0"/>
  </w:num>
  <w:num w:numId="3">
    <w:abstractNumId w:val="25"/>
  </w:num>
  <w:num w:numId="4">
    <w:abstractNumId w:val="19"/>
  </w:num>
  <w:num w:numId="5">
    <w:abstractNumId w:val="46"/>
  </w:num>
  <w:num w:numId="6">
    <w:abstractNumId w:val="11"/>
  </w:num>
  <w:num w:numId="7">
    <w:abstractNumId w:val="4"/>
  </w:num>
  <w:num w:numId="8">
    <w:abstractNumId w:val="13"/>
  </w:num>
  <w:num w:numId="9">
    <w:abstractNumId w:val="50"/>
  </w:num>
  <w:num w:numId="10">
    <w:abstractNumId w:val="56"/>
  </w:num>
  <w:num w:numId="11">
    <w:abstractNumId w:val="33"/>
  </w:num>
  <w:num w:numId="12">
    <w:abstractNumId w:val="21"/>
  </w:num>
  <w:num w:numId="13">
    <w:abstractNumId w:val="57"/>
  </w:num>
  <w:num w:numId="14">
    <w:abstractNumId w:val="37"/>
  </w:num>
  <w:num w:numId="15">
    <w:abstractNumId w:val="29"/>
  </w:num>
  <w:num w:numId="16">
    <w:abstractNumId w:val="23"/>
  </w:num>
  <w:num w:numId="17">
    <w:abstractNumId w:val="52"/>
  </w:num>
  <w:num w:numId="18">
    <w:abstractNumId w:val="8"/>
  </w:num>
  <w:num w:numId="19">
    <w:abstractNumId w:val="39"/>
  </w:num>
  <w:num w:numId="20">
    <w:abstractNumId w:val="3"/>
  </w:num>
  <w:num w:numId="21">
    <w:abstractNumId w:val="22"/>
  </w:num>
  <w:num w:numId="22">
    <w:abstractNumId w:val="40"/>
  </w:num>
  <w:num w:numId="23">
    <w:abstractNumId w:val="27"/>
  </w:num>
  <w:num w:numId="24">
    <w:abstractNumId w:val="2"/>
  </w:num>
  <w:num w:numId="25">
    <w:abstractNumId w:val="55"/>
  </w:num>
  <w:num w:numId="26">
    <w:abstractNumId w:val="31"/>
  </w:num>
  <w:num w:numId="27">
    <w:abstractNumId w:val="14"/>
  </w:num>
  <w:num w:numId="28">
    <w:abstractNumId w:val="53"/>
  </w:num>
  <w:num w:numId="29">
    <w:abstractNumId w:val="6"/>
  </w:num>
  <w:num w:numId="30">
    <w:abstractNumId w:val="43"/>
  </w:num>
  <w:num w:numId="31">
    <w:abstractNumId w:val="48"/>
  </w:num>
  <w:num w:numId="32">
    <w:abstractNumId w:val="10"/>
  </w:num>
  <w:num w:numId="33">
    <w:abstractNumId w:val="44"/>
  </w:num>
  <w:num w:numId="34">
    <w:abstractNumId w:val="47"/>
  </w:num>
  <w:num w:numId="35">
    <w:abstractNumId w:val="15"/>
  </w:num>
  <w:num w:numId="36">
    <w:abstractNumId w:val="5"/>
  </w:num>
  <w:num w:numId="37">
    <w:abstractNumId w:val="16"/>
  </w:num>
  <w:num w:numId="38">
    <w:abstractNumId w:val="44"/>
  </w:num>
  <w:num w:numId="39">
    <w:abstractNumId w:val="26"/>
  </w:num>
  <w:num w:numId="40">
    <w:abstractNumId w:val="54"/>
  </w:num>
  <w:num w:numId="41">
    <w:abstractNumId w:val="1"/>
  </w:num>
  <w:num w:numId="42">
    <w:abstractNumId w:val="34"/>
  </w:num>
  <w:num w:numId="43">
    <w:abstractNumId w:val="17"/>
  </w:num>
  <w:num w:numId="44">
    <w:abstractNumId w:val="10"/>
  </w:num>
  <w:num w:numId="45">
    <w:abstractNumId w:val="28"/>
  </w:num>
  <w:num w:numId="46">
    <w:abstractNumId w:val="51"/>
  </w:num>
  <w:num w:numId="47">
    <w:abstractNumId w:val="45"/>
  </w:num>
  <w:num w:numId="48">
    <w:abstractNumId w:val="36"/>
  </w:num>
  <w:num w:numId="49">
    <w:abstractNumId w:val="38"/>
  </w:num>
  <w:num w:numId="50">
    <w:abstractNumId w:val="30"/>
  </w:num>
  <w:num w:numId="51">
    <w:abstractNumId w:val="9"/>
  </w:num>
  <w:num w:numId="52">
    <w:abstractNumId w:val="7"/>
  </w:num>
  <w:num w:numId="53">
    <w:abstractNumId w:val="24"/>
  </w:num>
  <w:num w:numId="54">
    <w:abstractNumId w:val="41"/>
  </w:num>
  <w:num w:numId="55">
    <w:abstractNumId w:val="32"/>
  </w:num>
  <w:num w:numId="56">
    <w:abstractNumId w:val="35"/>
  </w:num>
  <w:num w:numId="57">
    <w:abstractNumId w:val="42"/>
  </w:num>
  <w:num w:numId="58">
    <w:abstractNumId w:val="12"/>
  </w:num>
  <w:num w:numId="59">
    <w:abstractNumId w:val="25"/>
  </w:num>
  <w:num w:numId="60">
    <w:abstractNumId w:val="18"/>
  </w:num>
  <w:num w:numId="61">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49B9"/>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7B"/>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653F"/>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CF66C-AC14-47F4-BC6A-7B7455C2D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1775</Words>
  <Characters>10122</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배덕현/선임연구원/차세대표준(연)5G표준Task(duckhyun.bae@lge.com)</cp:lastModifiedBy>
  <cp:revision>10</cp:revision>
  <cp:lastPrinted>2016-05-13T07:55:00Z</cp:lastPrinted>
  <dcterms:created xsi:type="dcterms:W3CDTF">2019-04-02T14:19:00Z</dcterms:created>
  <dcterms:modified xsi:type="dcterms:W3CDTF">2019-04-03T04:34:00Z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